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188983A7" w:rsidR="00465270" w:rsidRPr="00ED0D91" w:rsidRDefault="00591782" w:rsidP="00ED0D91">
      <w:pPr>
        <w:pStyle w:val="Heading2"/>
      </w:pPr>
      <w:r w:rsidRPr="00ED0D91">
        <w:t>Financial data for the previous three (3) years</w:t>
      </w:r>
      <w:r w:rsidR="00794851" w:rsidRPr="00ED0D91">
        <w:t xml:space="preserve"> (in AUD)</w:t>
      </w:r>
      <w:r w:rsidR="00ED0D91">
        <w:t>.</w:t>
      </w:r>
    </w:p>
    <w:tbl>
      <w:tblPr>
        <w:tblStyle w:val="PlainTable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1843"/>
        <w:gridCol w:w="1985"/>
      </w:tblGrid>
      <w:tr w:rsidR="00591782" w:rsidRPr="00ED0D91" w14:paraId="4BAC6A3F" w14:textId="77777777" w:rsidTr="00ED0D91">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3402" w:type="dxa"/>
            <w:tcBorders>
              <w:bottom w:val="none" w:sz="0" w:space="0" w:color="auto"/>
              <w:right w:val="none" w:sz="0" w:space="0" w:color="auto"/>
            </w:tcBorders>
            <w:vAlign w:val="center"/>
          </w:tcPr>
          <w:p w14:paraId="69133AAE" w14:textId="11D03801" w:rsidR="00591782" w:rsidRPr="00ED0D91" w:rsidRDefault="00ED0D91" w:rsidP="00ED0D91">
            <w:pPr>
              <w:pStyle w:val="BodyText"/>
              <w:spacing w:before="0" w:after="0"/>
              <w:jc w:val="left"/>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Financial Year</w:t>
            </w:r>
          </w:p>
        </w:tc>
        <w:tc>
          <w:tcPr>
            <w:tcW w:w="1701" w:type="dxa"/>
            <w:tcBorders>
              <w:bottom w:val="none" w:sz="0" w:space="0" w:color="auto"/>
            </w:tcBorders>
            <w:vAlign w:val="center"/>
          </w:tcPr>
          <w:p w14:paraId="21BF0F16" w14:textId="5DCA47F5" w:rsidR="00591782" w:rsidRPr="00ED0D91" w:rsidRDefault="00ED0D91" w:rsidP="00ED0D91">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2021</w:t>
            </w:r>
          </w:p>
        </w:tc>
        <w:tc>
          <w:tcPr>
            <w:tcW w:w="1843" w:type="dxa"/>
            <w:tcBorders>
              <w:bottom w:val="none" w:sz="0" w:space="0" w:color="auto"/>
            </w:tcBorders>
            <w:vAlign w:val="center"/>
          </w:tcPr>
          <w:p w14:paraId="39B28BB8" w14:textId="4F2D9B7C" w:rsidR="00591782" w:rsidRPr="00ED0D91" w:rsidRDefault="00ED0D91" w:rsidP="00ED0D91">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2020</w:t>
            </w:r>
          </w:p>
        </w:tc>
        <w:tc>
          <w:tcPr>
            <w:tcW w:w="1985" w:type="dxa"/>
            <w:tcBorders>
              <w:bottom w:val="none" w:sz="0" w:space="0" w:color="auto"/>
            </w:tcBorders>
            <w:vAlign w:val="center"/>
          </w:tcPr>
          <w:p w14:paraId="11A6EBB0" w14:textId="2624911B" w:rsidR="00591782" w:rsidRPr="00ED0D91" w:rsidRDefault="00ED0D91" w:rsidP="00ED0D91">
            <w:pPr>
              <w:pStyle w:val="BodyText"/>
              <w:spacing w:before="0" w:after="0"/>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lang w:val="en-GB"/>
              </w:rPr>
            </w:pPr>
            <w:r w:rsidRPr="00ED0D91">
              <w:rPr>
                <w:rFonts w:asciiTheme="minorHAnsi" w:hAnsiTheme="minorHAnsi" w:cstheme="minorHAnsi"/>
                <w:b/>
                <w:bCs/>
                <w:i w:val="0"/>
                <w:iCs w:val="0"/>
                <w:sz w:val="22"/>
                <w:szCs w:val="22"/>
                <w:lang w:val="en-GB"/>
              </w:rPr>
              <w:t>2019</w:t>
            </w:r>
          </w:p>
        </w:tc>
      </w:tr>
      <w:tr w:rsidR="00794851" w:rsidRPr="00ED0D91" w14:paraId="2C16EB91" w14:textId="77777777" w:rsidTr="00ED0D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37760CF8" w14:textId="1B6B7E6F" w:rsidR="00794851" w:rsidRPr="00ED0D91" w:rsidRDefault="00794851"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Turnover</w:t>
            </w:r>
          </w:p>
        </w:tc>
        <w:tc>
          <w:tcPr>
            <w:tcW w:w="1701" w:type="dxa"/>
            <w:vAlign w:val="center"/>
          </w:tcPr>
          <w:p w14:paraId="46DC5D16"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0EEBEA6A"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0B8C9AAF"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794851" w:rsidRPr="00ED0D91" w14:paraId="0E626F9D" w14:textId="77777777" w:rsidTr="00ED0D91">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4BF58619" w14:textId="4980ACD9" w:rsidR="00794851" w:rsidRPr="00ED0D91" w:rsidRDefault="00794851"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Profit before taxes</w:t>
            </w:r>
          </w:p>
        </w:tc>
        <w:tc>
          <w:tcPr>
            <w:tcW w:w="1701" w:type="dxa"/>
            <w:vAlign w:val="center"/>
          </w:tcPr>
          <w:p w14:paraId="25264187"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47ACA6B8"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4584B00B"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794851" w:rsidRPr="00ED0D91" w14:paraId="492D8E57" w14:textId="77777777" w:rsidTr="00ED0D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6D4ACCCA" w14:textId="66492140" w:rsidR="00794851" w:rsidRPr="00ED0D91" w:rsidRDefault="00794851"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Profit after taxes</w:t>
            </w:r>
          </w:p>
        </w:tc>
        <w:tc>
          <w:tcPr>
            <w:tcW w:w="1701" w:type="dxa"/>
            <w:vAlign w:val="center"/>
          </w:tcPr>
          <w:p w14:paraId="699F445C"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1E0E7BAE"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2CAB7829"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794851" w:rsidRPr="00ED0D91" w14:paraId="24C3FDD4" w14:textId="77777777" w:rsidTr="00ED0D91">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016CE79E" w14:textId="7A3A920D" w:rsidR="00794851" w:rsidRPr="00ED0D91" w:rsidRDefault="00794851"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Current Assets</w:t>
            </w:r>
          </w:p>
        </w:tc>
        <w:tc>
          <w:tcPr>
            <w:tcW w:w="1701" w:type="dxa"/>
            <w:vAlign w:val="center"/>
          </w:tcPr>
          <w:p w14:paraId="49FE4655"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3ADCF71E"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4A010906"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r w:rsidR="00794851" w:rsidRPr="00ED0D91" w14:paraId="268FCB34" w14:textId="77777777" w:rsidTr="00ED0D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6B55613F" w14:textId="3CF17643" w:rsidR="00794851" w:rsidRPr="00ED0D91" w:rsidRDefault="00794851"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Current Liabilities</w:t>
            </w:r>
          </w:p>
        </w:tc>
        <w:tc>
          <w:tcPr>
            <w:tcW w:w="1701" w:type="dxa"/>
            <w:vAlign w:val="center"/>
          </w:tcPr>
          <w:p w14:paraId="4580A4F3"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843" w:type="dxa"/>
            <w:vAlign w:val="center"/>
          </w:tcPr>
          <w:p w14:paraId="7344C9E1"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c>
          <w:tcPr>
            <w:tcW w:w="1985" w:type="dxa"/>
            <w:vAlign w:val="center"/>
          </w:tcPr>
          <w:p w14:paraId="3101A125" w14:textId="77777777" w:rsidR="00794851" w:rsidRPr="00ED0D91" w:rsidRDefault="00794851" w:rsidP="00ED0D91">
            <w:pPr>
              <w:pStyle w:val="BodyText"/>
              <w:spacing w:before="0" w:after="0"/>
              <w:jc w:val="right"/>
              <w:cnfStyle w:val="000000100000" w:firstRow="0" w:lastRow="0" w:firstColumn="0" w:lastColumn="0" w:oddVBand="0" w:evenVBand="0" w:oddHBand="1" w:evenHBand="0" w:firstRowFirstColumn="0" w:firstRowLastColumn="0" w:lastRowFirstColumn="0" w:lastRowLastColumn="0"/>
              <w:rPr>
                <w:rFonts w:cstheme="minorHAnsi"/>
                <w:sz w:val="22"/>
                <w:szCs w:val="22"/>
                <w:lang w:val="en-GB"/>
              </w:rPr>
            </w:pPr>
          </w:p>
        </w:tc>
      </w:tr>
      <w:tr w:rsidR="00794851" w:rsidRPr="00ED0D91" w14:paraId="5A8C8AF8" w14:textId="77777777" w:rsidTr="00ED0D91">
        <w:trPr>
          <w:trHeight w:val="340"/>
        </w:trPr>
        <w:tc>
          <w:tcPr>
            <w:cnfStyle w:val="001000000000" w:firstRow="0" w:lastRow="0" w:firstColumn="1" w:lastColumn="0" w:oddVBand="0" w:evenVBand="0" w:oddHBand="0" w:evenHBand="0" w:firstRowFirstColumn="0" w:firstRowLastColumn="0" w:lastRowFirstColumn="0" w:lastRowLastColumn="0"/>
            <w:tcW w:w="3402" w:type="dxa"/>
            <w:tcBorders>
              <w:right w:val="none" w:sz="0" w:space="0" w:color="auto"/>
            </w:tcBorders>
            <w:vAlign w:val="center"/>
          </w:tcPr>
          <w:p w14:paraId="48B5DDD6" w14:textId="10B000B9" w:rsidR="00794851" w:rsidRPr="00ED0D91" w:rsidRDefault="00456C66" w:rsidP="00ED0D91">
            <w:pPr>
              <w:pStyle w:val="BodyText"/>
              <w:spacing w:before="0" w:after="0"/>
              <w:jc w:val="left"/>
              <w:rPr>
                <w:rFonts w:asciiTheme="minorHAnsi" w:hAnsiTheme="minorHAnsi" w:cstheme="minorHAnsi"/>
                <w:i w:val="0"/>
                <w:iCs w:val="0"/>
                <w:sz w:val="22"/>
                <w:szCs w:val="22"/>
                <w:lang w:val="en-GB"/>
              </w:rPr>
            </w:pPr>
            <w:r w:rsidRPr="00ED0D91">
              <w:rPr>
                <w:rFonts w:asciiTheme="minorHAnsi" w:hAnsiTheme="minorHAnsi" w:cstheme="minorHAnsi"/>
                <w:i w:val="0"/>
                <w:iCs w:val="0"/>
                <w:sz w:val="22"/>
                <w:szCs w:val="22"/>
                <w:lang w:val="en-GB"/>
              </w:rPr>
              <w:t>Working current ratio (current assets/current liabilities)</w:t>
            </w:r>
          </w:p>
        </w:tc>
        <w:tc>
          <w:tcPr>
            <w:tcW w:w="1701" w:type="dxa"/>
            <w:vAlign w:val="center"/>
          </w:tcPr>
          <w:p w14:paraId="040C467E"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843" w:type="dxa"/>
            <w:vAlign w:val="center"/>
          </w:tcPr>
          <w:p w14:paraId="65F90AE4"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c>
          <w:tcPr>
            <w:tcW w:w="1985" w:type="dxa"/>
            <w:vAlign w:val="center"/>
          </w:tcPr>
          <w:p w14:paraId="1E23B2BC" w14:textId="77777777" w:rsidR="00794851" w:rsidRPr="00ED0D91" w:rsidRDefault="00794851" w:rsidP="00ED0D91">
            <w:pPr>
              <w:pStyle w:val="BodyText"/>
              <w:spacing w:before="0" w:after="0"/>
              <w:jc w:val="right"/>
              <w:cnfStyle w:val="000000000000" w:firstRow="0" w:lastRow="0" w:firstColumn="0" w:lastColumn="0" w:oddVBand="0" w:evenVBand="0" w:oddHBand="0" w:evenHBand="0" w:firstRowFirstColumn="0" w:firstRowLastColumn="0" w:lastRowFirstColumn="0" w:lastRowLastColumn="0"/>
              <w:rPr>
                <w:rFonts w:cstheme="minorHAnsi"/>
                <w:sz w:val="22"/>
                <w:szCs w:val="22"/>
                <w:lang w:val="en-GB"/>
              </w:rPr>
            </w:pPr>
          </w:p>
        </w:tc>
      </w:tr>
    </w:tbl>
    <w:p w14:paraId="7B1D914D" w14:textId="28ECA65F" w:rsidR="00591782" w:rsidRPr="003A3010" w:rsidRDefault="00C2708D" w:rsidP="00ED0D91">
      <w:pPr>
        <w:pStyle w:val="Heading2"/>
      </w:pPr>
      <w:r w:rsidRPr="003A3010">
        <w:t>Financial statements</w:t>
      </w:r>
      <w:r w:rsidR="00ED0D91">
        <w:t>:</w:t>
      </w:r>
    </w:p>
    <w:p w14:paraId="209E4EFB" w14:textId="69FCF916" w:rsidR="00C2708D" w:rsidRPr="00ED0D91" w:rsidRDefault="00C2708D" w:rsidP="00ED0D91">
      <w:pPr>
        <w:ind w:left="567" w:hanging="567"/>
        <w:jc w:val="both"/>
        <w:rPr>
          <w:sz w:val="22"/>
          <w:szCs w:val="22"/>
          <w:lang w:val="en-GB"/>
        </w:rPr>
      </w:pPr>
      <w:r w:rsidRPr="00ED0D91">
        <w:rPr>
          <w:sz w:val="22"/>
          <w:szCs w:val="22"/>
          <w:lang w:val="en-GB"/>
        </w:rPr>
        <w:t>Attached are copies of financial statements (balance sheets, including all related notes, and income statements) for the last three years</w:t>
      </w:r>
      <w:r w:rsidR="00A83E02" w:rsidRPr="00ED0D91">
        <w:rPr>
          <w:rStyle w:val="FootnoteReference"/>
          <w:sz w:val="22"/>
          <w:szCs w:val="22"/>
          <w:lang w:val="en-GB"/>
        </w:rPr>
        <w:footnoteReference w:id="1"/>
      </w:r>
      <w:r w:rsidRPr="00ED0D91">
        <w:rPr>
          <w:sz w:val="22"/>
          <w:szCs w:val="22"/>
          <w:lang w:val="en-GB"/>
        </w:rPr>
        <w:t>, as indicated above, which comply with the following conditions:</w:t>
      </w:r>
    </w:p>
    <w:p w14:paraId="142EF55C" w14:textId="7CCD3459" w:rsidR="00C2708D" w:rsidRPr="00ED0D91" w:rsidRDefault="00C2708D" w:rsidP="00ED0D91">
      <w:pPr>
        <w:pStyle w:val="ListParagraph"/>
        <w:numPr>
          <w:ilvl w:val="0"/>
          <w:numId w:val="1"/>
        </w:numPr>
        <w:jc w:val="both"/>
        <w:rPr>
          <w:sz w:val="22"/>
          <w:szCs w:val="22"/>
          <w:lang w:val="en-GB"/>
        </w:rPr>
      </w:pPr>
      <w:r w:rsidRPr="00ED0D91">
        <w:rPr>
          <w:sz w:val="22"/>
          <w:szCs w:val="22"/>
          <w:lang w:val="en-GB"/>
        </w:rPr>
        <w:t xml:space="preserve">All such statements reflect the financial situation of the Tenderer, exclusive of parent or sister </w:t>
      </w:r>
      <w:r w:rsidR="00A83E02" w:rsidRPr="00ED0D91">
        <w:rPr>
          <w:sz w:val="22"/>
          <w:szCs w:val="22"/>
          <w:lang w:val="en-GB"/>
        </w:rPr>
        <w:t>organisations</w:t>
      </w:r>
      <w:r w:rsidR="00ED0D91">
        <w:rPr>
          <w:sz w:val="22"/>
          <w:szCs w:val="22"/>
          <w:lang w:val="en-GB"/>
        </w:rPr>
        <w:t xml:space="preserve"> or predecessor organisations</w:t>
      </w:r>
      <w:r w:rsidR="00A83E02" w:rsidRPr="00ED0D91">
        <w:rPr>
          <w:sz w:val="22"/>
          <w:szCs w:val="22"/>
          <w:lang w:val="en-GB"/>
        </w:rPr>
        <w:t>;</w:t>
      </w:r>
    </w:p>
    <w:p w14:paraId="67277AFF" w14:textId="4C8F8245" w:rsidR="00A83E02" w:rsidRPr="00ED0D91" w:rsidRDefault="00C2708D" w:rsidP="00ED0D91">
      <w:pPr>
        <w:pStyle w:val="ListParagraph"/>
        <w:numPr>
          <w:ilvl w:val="0"/>
          <w:numId w:val="1"/>
        </w:numPr>
        <w:jc w:val="both"/>
        <w:rPr>
          <w:sz w:val="22"/>
          <w:szCs w:val="22"/>
          <w:lang w:val="en-GB"/>
        </w:rPr>
      </w:pPr>
      <w:r w:rsidRPr="00ED0D91">
        <w:rPr>
          <w:sz w:val="22"/>
          <w:szCs w:val="22"/>
          <w:lang w:val="en-GB"/>
        </w:rPr>
        <w:t>Historic financial statements have been audited by a certified accountant (unless exempt by law)</w:t>
      </w:r>
      <w:r w:rsidR="00A83E02" w:rsidRPr="00ED0D91">
        <w:rPr>
          <w:sz w:val="22"/>
          <w:szCs w:val="22"/>
          <w:lang w:val="en-GB"/>
        </w:rPr>
        <w:t>;</w:t>
      </w:r>
    </w:p>
    <w:p w14:paraId="4A02792E" w14:textId="0DF6FEE9" w:rsidR="00C2708D" w:rsidRPr="00ED0D91" w:rsidRDefault="00A83E02" w:rsidP="00ED0D91">
      <w:pPr>
        <w:pStyle w:val="ListParagraph"/>
        <w:numPr>
          <w:ilvl w:val="0"/>
          <w:numId w:val="1"/>
        </w:numPr>
        <w:jc w:val="both"/>
        <w:rPr>
          <w:sz w:val="22"/>
          <w:szCs w:val="22"/>
          <w:lang w:val="en-GB"/>
        </w:rPr>
      </w:pPr>
      <w:r w:rsidRPr="00ED0D91">
        <w:rPr>
          <w:sz w:val="22"/>
          <w:szCs w:val="22"/>
          <w:lang w:val="en-GB"/>
        </w:rPr>
        <w:t>Historical financial statements are complete, including notes to the financial statements</w:t>
      </w:r>
      <w:r w:rsidR="00F24D59" w:rsidRPr="00ED0D91">
        <w:rPr>
          <w:sz w:val="22"/>
          <w:szCs w:val="22"/>
          <w:lang w:val="en-GB"/>
        </w:rPr>
        <w:t>; and</w:t>
      </w:r>
    </w:p>
    <w:p w14:paraId="04B3239D" w14:textId="360F48E9" w:rsidR="00A83E02" w:rsidRPr="00ED0D91" w:rsidRDefault="00A83E02" w:rsidP="00ED0D91">
      <w:pPr>
        <w:pStyle w:val="ListParagraph"/>
        <w:numPr>
          <w:ilvl w:val="0"/>
          <w:numId w:val="1"/>
        </w:numPr>
        <w:jc w:val="both"/>
        <w:rPr>
          <w:sz w:val="22"/>
          <w:szCs w:val="22"/>
          <w:lang w:val="en-GB"/>
        </w:rPr>
      </w:pPr>
      <w:r w:rsidRPr="00ED0D91">
        <w:rPr>
          <w:sz w:val="22"/>
          <w:szCs w:val="22"/>
          <w:lang w:val="en-GB"/>
        </w:rPr>
        <w:t>Historic financial statements correspond to accounting periods already completed and audited</w:t>
      </w:r>
      <w:r w:rsidR="00F24D59" w:rsidRPr="00ED0D91">
        <w:rPr>
          <w:sz w:val="22"/>
          <w:szCs w:val="22"/>
          <w:lang w:val="en-GB"/>
        </w:rPr>
        <w:t>.</w:t>
      </w:r>
    </w:p>
    <w:p w14:paraId="4D1F3EF2" w14:textId="6446D1FD" w:rsidR="003A3010" w:rsidRPr="00ED0D91" w:rsidRDefault="003A3010" w:rsidP="00ED0D91">
      <w:pPr>
        <w:jc w:val="both"/>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bookmarkStart w:id="0" w:name="_Hlk9503530"/>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0E5D1" w14:textId="77777777" w:rsidR="008F2868" w:rsidRDefault="008F2868" w:rsidP="00465270">
      <w:pPr>
        <w:spacing w:before="0"/>
      </w:pPr>
      <w:r>
        <w:separator/>
      </w:r>
    </w:p>
  </w:endnote>
  <w:endnote w:type="continuationSeparator" w:id="0">
    <w:p w14:paraId="04CCA308" w14:textId="77777777" w:rsidR="008F2868" w:rsidRDefault="008F2868"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BB44C" w14:textId="77777777" w:rsidR="008F2868" w:rsidRDefault="008F2868" w:rsidP="00465270">
      <w:pPr>
        <w:spacing w:before="0"/>
      </w:pPr>
      <w:r>
        <w:separator/>
      </w:r>
    </w:p>
  </w:footnote>
  <w:footnote w:type="continuationSeparator" w:id="0">
    <w:p w14:paraId="18BCD940" w14:textId="77777777" w:rsidR="008F2868" w:rsidRDefault="008F2868"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24598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A3010"/>
    <w:rsid w:val="003D1814"/>
    <w:rsid w:val="00456C66"/>
    <w:rsid w:val="00465270"/>
    <w:rsid w:val="0053424E"/>
    <w:rsid w:val="00555718"/>
    <w:rsid w:val="00591782"/>
    <w:rsid w:val="0077323D"/>
    <w:rsid w:val="00794851"/>
    <w:rsid w:val="008F2868"/>
    <w:rsid w:val="00934F88"/>
    <w:rsid w:val="00A06138"/>
    <w:rsid w:val="00A24644"/>
    <w:rsid w:val="00A83E02"/>
    <w:rsid w:val="00AC6704"/>
    <w:rsid w:val="00BF6083"/>
    <w:rsid w:val="00C2708D"/>
    <w:rsid w:val="00C553DE"/>
    <w:rsid w:val="00CC2C68"/>
    <w:rsid w:val="00DF45F4"/>
    <w:rsid w:val="00ED0D9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ED0D91"/>
    <w:pPr>
      <w:keepNext/>
      <w:keepLines/>
      <w:spacing w:after="120"/>
      <w:outlineLvl w:val="1"/>
    </w:pPr>
    <w:rPr>
      <w:rFonts w:eastAsiaTheme="majorEastAsia" w:cstheme="minorHAnsi"/>
      <w:sz w:val="22"/>
      <w:szCs w:val="22"/>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ED0D91"/>
    <w:rPr>
      <w:rFonts w:eastAsiaTheme="majorEastAsia" w:cstheme="minorHAnsi"/>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237</Words>
  <Characters>1354</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Matthew Giesemann</cp:lastModifiedBy>
  <cp:revision>4</cp:revision>
  <dcterms:created xsi:type="dcterms:W3CDTF">2021-01-19T09:32:00Z</dcterms:created>
  <dcterms:modified xsi:type="dcterms:W3CDTF">2022-05-18T23:25:00Z</dcterms:modified>
</cp:coreProperties>
</file>